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910"/>
        <w:gridCol w:w="2475"/>
        <w:gridCol w:w="2300"/>
        <w:gridCol w:w="2841"/>
      </w:tblGrid>
      <w:tr w:rsidR="009B44D8">
        <w:trPr>
          <w:trHeight w:val="340"/>
        </w:trPr>
        <w:tc>
          <w:tcPr>
            <w:tcW w:w="2018" w:type="dxa"/>
            <w:gridSpan w:val="2"/>
            <w:vMerge w:val="restart"/>
          </w:tcPr>
          <w:p w:rsidR="009B44D8" w:rsidRDefault="009B44D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9B44D8" w:rsidRDefault="009B44D8">
            <w:pPr>
              <w:pStyle w:val="TableParagraph"/>
              <w:spacing w:before="6" w:line="240" w:lineRule="auto"/>
              <w:ind w:left="0"/>
              <w:rPr>
                <w:rFonts w:ascii="Times New Roman"/>
              </w:rPr>
            </w:pPr>
          </w:p>
          <w:p w:rsidR="009B44D8" w:rsidRDefault="00B2759C">
            <w:pPr>
              <w:pStyle w:val="TableParagraph"/>
              <w:spacing w:line="240" w:lineRule="auto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58325" cy="7376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2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  <w:gridSpan w:val="3"/>
          </w:tcPr>
          <w:p w:rsidR="009B44D8" w:rsidRDefault="0069458A">
            <w:pPr>
              <w:pStyle w:val="TableParagraph"/>
              <w:spacing w:before="7" w:line="313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003399"/>
                <w:sz w:val="28"/>
              </w:rPr>
              <w:t>Loc</w:t>
            </w:r>
            <w:r w:rsidR="002653A5">
              <w:rPr>
                <w:rFonts w:ascii="Times New Roman"/>
                <w:b/>
                <w:color w:val="003399"/>
                <w:sz w:val="28"/>
              </w:rPr>
              <w:t xml:space="preserve"> Performance Products, LLC</w:t>
            </w:r>
          </w:p>
        </w:tc>
      </w:tr>
      <w:tr w:rsidR="009B44D8">
        <w:trPr>
          <w:trHeight w:val="782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9B44D8" w:rsidRDefault="009B44D8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gridSpan w:val="3"/>
          </w:tcPr>
          <w:p w:rsidR="009B44D8" w:rsidRDefault="00B2759C">
            <w:pPr>
              <w:pStyle w:val="TableParagraph"/>
              <w:rPr>
                <w:sz w:val="16"/>
              </w:rPr>
            </w:pPr>
            <w:r>
              <w:rPr>
                <w:color w:val="003399"/>
                <w:sz w:val="16"/>
              </w:rPr>
              <w:t>Document Title:</w:t>
            </w:r>
          </w:p>
          <w:p w:rsidR="009B44D8" w:rsidRDefault="00B2759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ANTI-CORRUPTION POLICY AND PRINCIPLES</w:t>
            </w:r>
          </w:p>
        </w:tc>
      </w:tr>
      <w:tr w:rsidR="009B44D8">
        <w:trPr>
          <w:trHeight w:val="489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9B44D8" w:rsidRDefault="009B44D8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 w:rsidR="009B44D8" w:rsidRDefault="00B2759C">
            <w:pPr>
              <w:pStyle w:val="TableParagraph"/>
              <w:rPr>
                <w:sz w:val="16"/>
              </w:rPr>
            </w:pPr>
            <w:r>
              <w:rPr>
                <w:color w:val="003399"/>
                <w:sz w:val="16"/>
              </w:rPr>
              <w:t>Document No:</w:t>
            </w:r>
          </w:p>
          <w:p w:rsidR="009B44D8" w:rsidRDefault="00B275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C-P-CMO-XXXX</w:t>
            </w:r>
          </w:p>
        </w:tc>
        <w:tc>
          <w:tcPr>
            <w:tcW w:w="2300" w:type="dxa"/>
          </w:tcPr>
          <w:p w:rsidR="009B44D8" w:rsidRDefault="00B2759C">
            <w:pPr>
              <w:pStyle w:val="TableParagraph"/>
              <w:rPr>
                <w:sz w:val="16"/>
              </w:rPr>
            </w:pPr>
            <w:r>
              <w:rPr>
                <w:color w:val="003399"/>
                <w:sz w:val="16"/>
              </w:rPr>
              <w:t>Revision:</w:t>
            </w:r>
          </w:p>
          <w:p w:rsidR="009B44D8" w:rsidRDefault="002B70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01/14/2022</w:t>
            </w:r>
          </w:p>
        </w:tc>
        <w:tc>
          <w:tcPr>
            <w:tcW w:w="2841" w:type="dxa"/>
          </w:tcPr>
          <w:p w:rsidR="009B44D8" w:rsidRDefault="00B2759C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003399"/>
                <w:sz w:val="16"/>
              </w:rPr>
              <w:t>Process Owner:</w:t>
            </w:r>
          </w:p>
          <w:p w:rsidR="009B44D8" w:rsidRDefault="00B275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Compliance</w:t>
            </w:r>
          </w:p>
        </w:tc>
      </w:tr>
      <w:tr w:rsidR="009B44D8">
        <w:trPr>
          <w:trHeight w:val="486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9B44D8" w:rsidRDefault="009B44D8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 w:rsidR="009B44D8" w:rsidRDefault="00B2759C">
            <w:pPr>
              <w:pStyle w:val="TableParagraph"/>
              <w:rPr>
                <w:color w:val="003399"/>
                <w:sz w:val="16"/>
              </w:rPr>
            </w:pPr>
            <w:r>
              <w:rPr>
                <w:color w:val="003399"/>
                <w:sz w:val="16"/>
              </w:rPr>
              <w:t>Approved By:</w:t>
            </w:r>
          </w:p>
          <w:p w:rsidR="002B704D" w:rsidRDefault="002B704D">
            <w:pPr>
              <w:pStyle w:val="TableParagraph"/>
              <w:rPr>
                <w:sz w:val="16"/>
              </w:rPr>
            </w:pPr>
          </w:p>
        </w:tc>
        <w:tc>
          <w:tcPr>
            <w:tcW w:w="2300" w:type="dxa"/>
          </w:tcPr>
          <w:p w:rsidR="002B704D" w:rsidRDefault="00B2759C">
            <w:pPr>
              <w:pStyle w:val="TableParagraph"/>
              <w:rPr>
                <w:color w:val="003399"/>
                <w:sz w:val="16"/>
              </w:rPr>
            </w:pPr>
            <w:r>
              <w:rPr>
                <w:color w:val="003399"/>
                <w:sz w:val="16"/>
              </w:rPr>
              <w:t>Date:</w:t>
            </w:r>
          </w:p>
          <w:p w:rsidR="009B44D8" w:rsidRPr="002B704D" w:rsidRDefault="002B704D">
            <w:pPr>
              <w:pStyle w:val="TableParagraph"/>
            </w:pPr>
            <w:r w:rsidRPr="002B704D">
              <w:t>11/07/2020</w:t>
            </w:r>
          </w:p>
        </w:tc>
        <w:tc>
          <w:tcPr>
            <w:tcW w:w="2841" w:type="dxa"/>
          </w:tcPr>
          <w:p w:rsidR="009B44D8" w:rsidRDefault="00B2759C">
            <w:pPr>
              <w:pStyle w:val="TableParagraph"/>
              <w:spacing w:before="19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Page 1 of 1</w:t>
            </w:r>
          </w:p>
        </w:tc>
      </w:tr>
      <w:tr w:rsidR="009B44D8">
        <w:trPr>
          <w:trHeight w:val="208"/>
        </w:trPr>
        <w:tc>
          <w:tcPr>
            <w:tcW w:w="108" w:type="dxa"/>
            <w:tcBorders>
              <w:right w:val="nil"/>
            </w:tcBorders>
            <w:shd w:val="clear" w:color="auto" w:fill="003399"/>
          </w:tcPr>
          <w:p w:rsidR="009B44D8" w:rsidRDefault="009B44D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26" w:type="dxa"/>
            <w:gridSpan w:val="4"/>
            <w:tcBorders>
              <w:left w:val="nil"/>
            </w:tcBorders>
            <w:shd w:val="clear" w:color="auto" w:fill="003399"/>
          </w:tcPr>
          <w:p w:rsidR="009B44D8" w:rsidRDefault="00B2759C">
            <w:pPr>
              <w:pStyle w:val="TableParagraph"/>
              <w:spacing w:line="188" w:lineRule="exact"/>
              <w:ind w:left="53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Printed copies of this document are uncontrolled. Please refer to Plex DCS for the latest revision.</w:t>
            </w:r>
          </w:p>
        </w:tc>
      </w:tr>
    </w:tbl>
    <w:p w:rsidR="009B44D8" w:rsidRDefault="009B44D8">
      <w:pPr>
        <w:pStyle w:val="BodyText"/>
        <w:rPr>
          <w:sz w:val="20"/>
        </w:rPr>
      </w:pPr>
    </w:p>
    <w:p w:rsidR="009B44D8" w:rsidRDefault="009B44D8">
      <w:pPr>
        <w:pStyle w:val="BodyText"/>
        <w:spacing w:before="3"/>
        <w:rPr>
          <w:sz w:val="23"/>
        </w:rPr>
      </w:pPr>
    </w:p>
    <w:p w:rsidR="009B44D8" w:rsidRDefault="0069458A">
      <w:pPr>
        <w:spacing w:before="90"/>
        <w:ind w:left="2175" w:right="2275" w:firstLine="468"/>
        <w:rPr>
          <w:b/>
          <w:sz w:val="24"/>
        </w:rPr>
      </w:pPr>
      <w:r>
        <w:rPr>
          <w:b/>
          <w:sz w:val="24"/>
        </w:rPr>
        <w:t>LOC</w:t>
      </w:r>
      <w:r w:rsidR="002653A5">
        <w:rPr>
          <w:b/>
          <w:sz w:val="24"/>
        </w:rPr>
        <w:t xml:space="preserve"> PERFORMANCE PRODUCTS, LLC</w:t>
      </w:r>
      <w:r w:rsidR="00B2759C">
        <w:rPr>
          <w:b/>
          <w:sz w:val="24"/>
        </w:rPr>
        <w:t xml:space="preserve"> ANTI-CORRUPTION POLICY AND PRINCIPLES</w:t>
      </w:r>
    </w:p>
    <w:p w:rsidR="009B44D8" w:rsidRDefault="009B44D8">
      <w:pPr>
        <w:pStyle w:val="BodyText"/>
        <w:spacing w:before="7"/>
        <w:rPr>
          <w:b/>
          <w:sz w:val="21"/>
        </w:rPr>
      </w:pPr>
    </w:p>
    <w:p w:rsidR="009B44D8" w:rsidRPr="002B704D" w:rsidRDefault="0069458A" w:rsidP="007A2710">
      <w:pPr>
        <w:pStyle w:val="BodyText"/>
        <w:tabs>
          <w:tab w:val="left" w:pos="8820"/>
        </w:tabs>
        <w:ind w:left="200" w:right="50"/>
        <w:rPr>
          <w:sz w:val="22"/>
          <w:szCs w:val="22"/>
        </w:rPr>
      </w:pPr>
      <w:r w:rsidRPr="002B704D">
        <w:rPr>
          <w:sz w:val="22"/>
          <w:szCs w:val="22"/>
        </w:rPr>
        <w:t>Loc</w:t>
      </w:r>
      <w:r w:rsidR="00B2759C" w:rsidRPr="002B704D">
        <w:rPr>
          <w:sz w:val="22"/>
          <w:szCs w:val="22"/>
        </w:rPr>
        <w:t xml:space="preserve"> Performance Products, Inc. (</w:t>
      </w:r>
      <w:r w:rsidRPr="002B704D">
        <w:rPr>
          <w:sz w:val="22"/>
          <w:szCs w:val="22"/>
        </w:rPr>
        <w:t>Loc</w:t>
      </w:r>
      <w:r w:rsidR="00B2759C" w:rsidRPr="002B704D">
        <w:rPr>
          <w:sz w:val="22"/>
          <w:szCs w:val="22"/>
        </w:rPr>
        <w:t xml:space="preserve">) is committed to operating with the highest level of </w:t>
      </w:r>
      <w:r w:rsidR="007A2710">
        <w:rPr>
          <w:sz w:val="22"/>
          <w:szCs w:val="22"/>
        </w:rPr>
        <w:t>i</w:t>
      </w:r>
      <w:r w:rsidR="00B2759C" w:rsidRPr="002B704D">
        <w:rPr>
          <w:sz w:val="22"/>
          <w:szCs w:val="22"/>
        </w:rPr>
        <w:t>ntegrity. All employees must adhere to the following Anti-Corruption guiding principles:</w:t>
      </w:r>
    </w:p>
    <w:p w:rsidR="009B44D8" w:rsidRPr="002B704D" w:rsidRDefault="009B44D8">
      <w:pPr>
        <w:pStyle w:val="BodyText"/>
        <w:rPr>
          <w:sz w:val="22"/>
          <w:szCs w:val="22"/>
        </w:rPr>
      </w:pPr>
    </w:p>
    <w:p w:rsidR="009B44D8" w:rsidRPr="002B704D" w:rsidRDefault="00B2759C" w:rsidP="007A2710">
      <w:pPr>
        <w:pStyle w:val="ListParagraph"/>
        <w:numPr>
          <w:ilvl w:val="0"/>
          <w:numId w:val="1"/>
        </w:numPr>
        <w:tabs>
          <w:tab w:val="left" w:pos="921"/>
        </w:tabs>
        <w:ind w:right="140"/>
      </w:pPr>
      <w:r w:rsidRPr="002B704D">
        <w:t>Business activities must be conducted with integrity and in accordance with</w:t>
      </w:r>
      <w:r w:rsidRPr="002B704D">
        <w:rPr>
          <w:spacing w:val="-15"/>
        </w:rPr>
        <w:t xml:space="preserve"> </w:t>
      </w:r>
      <w:r w:rsidR="0069458A" w:rsidRPr="002B704D">
        <w:t xml:space="preserve">Loc </w:t>
      </w:r>
      <w:r w:rsidRPr="002B704D">
        <w:t>b</w:t>
      </w:r>
      <w:r w:rsidRPr="002B704D">
        <w:t>usiness</w:t>
      </w:r>
      <w:r w:rsidRPr="002B704D">
        <w:rPr>
          <w:spacing w:val="-1"/>
        </w:rPr>
        <w:t xml:space="preserve"> </w:t>
      </w:r>
      <w:r w:rsidRPr="002B704D">
        <w:t>values.</w:t>
      </w:r>
    </w:p>
    <w:p w:rsidR="009B44D8" w:rsidRPr="002B704D" w:rsidRDefault="009B44D8">
      <w:pPr>
        <w:pStyle w:val="BodyText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 w:rsidRPr="002B704D">
        <w:t>Bribery or corruption will not be tolerated, whether in the public sector or private</w:t>
      </w:r>
      <w:r w:rsidRPr="002B704D">
        <w:rPr>
          <w:spacing w:val="-11"/>
        </w:rPr>
        <w:t xml:space="preserve"> </w:t>
      </w:r>
      <w:r w:rsidRPr="002B704D">
        <w:t>sector.</w:t>
      </w:r>
    </w:p>
    <w:p w:rsidR="009B44D8" w:rsidRPr="002B704D" w:rsidRDefault="009B44D8">
      <w:pPr>
        <w:pStyle w:val="BodyText"/>
        <w:spacing w:before="2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spacing w:before="1" w:line="237" w:lineRule="auto"/>
        <w:ind w:right="660"/>
      </w:pPr>
      <w:r w:rsidRPr="002B704D">
        <w:t>Anti-corruption laws prohibit improper payments and require maintenance of</w:t>
      </w:r>
      <w:r w:rsidRPr="002B704D">
        <w:rPr>
          <w:spacing w:val="-16"/>
        </w:rPr>
        <w:t xml:space="preserve"> </w:t>
      </w:r>
      <w:r w:rsidRPr="002B704D">
        <w:t>accurate books and records for all transactions.</w:t>
      </w:r>
    </w:p>
    <w:p w:rsidR="009B44D8" w:rsidRPr="002B704D" w:rsidRDefault="009B44D8">
      <w:pPr>
        <w:pStyle w:val="BodyText"/>
        <w:spacing w:before="1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ind w:right="380"/>
      </w:pPr>
      <w:r w:rsidRPr="002B704D">
        <w:t xml:space="preserve">In the event there are any inconsistencies between </w:t>
      </w:r>
      <w:r w:rsidR="0069458A" w:rsidRPr="002B704D">
        <w:t>Loc</w:t>
      </w:r>
      <w:r w:rsidRPr="002B704D">
        <w:t xml:space="preserve"> policies and anti-corruption laws or regulations, the more restrictive standard will</w:t>
      </w:r>
      <w:r w:rsidRPr="002B704D">
        <w:rPr>
          <w:spacing w:val="1"/>
        </w:rPr>
        <w:t xml:space="preserve"> </w:t>
      </w:r>
      <w:r w:rsidRPr="002B704D">
        <w:t>apply.</w:t>
      </w:r>
    </w:p>
    <w:p w:rsidR="009B44D8" w:rsidRPr="002B704D" w:rsidRDefault="009B44D8">
      <w:pPr>
        <w:pStyle w:val="BodyText"/>
        <w:rPr>
          <w:sz w:val="22"/>
          <w:szCs w:val="22"/>
        </w:rPr>
      </w:pPr>
    </w:p>
    <w:p w:rsidR="009B44D8" w:rsidRPr="002B704D" w:rsidRDefault="0069458A">
      <w:pPr>
        <w:pStyle w:val="ListParagraph"/>
        <w:numPr>
          <w:ilvl w:val="0"/>
          <w:numId w:val="1"/>
        </w:numPr>
        <w:tabs>
          <w:tab w:val="left" w:pos="921"/>
        </w:tabs>
        <w:ind w:right="447"/>
      </w:pPr>
      <w:r w:rsidRPr="002B704D">
        <w:t xml:space="preserve">Loc </w:t>
      </w:r>
      <w:r w:rsidR="00B2759C" w:rsidRPr="002B704D">
        <w:t xml:space="preserve">management understands that it can be held responsible for the acts of third parties associated with or </w:t>
      </w:r>
      <w:r w:rsidR="00B2759C" w:rsidRPr="002B704D">
        <w:t>acting on its</w:t>
      </w:r>
      <w:r w:rsidR="00B2759C" w:rsidRPr="002B704D">
        <w:rPr>
          <w:spacing w:val="-2"/>
        </w:rPr>
        <w:t xml:space="preserve"> </w:t>
      </w:r>
      <w:r w:rsidR="00B2759C" w:rsidRPr="002B704D">
        <w:t>behalf.</w:t>
      </w:r>
    </w:p>
    <w:p w:rsidR="009B44D8" w:rsidRPr="002B704D" w:rsidRDefault="009B44D8">
      <w:pPr>
        <w:pStyle w:val="BodyText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 w:rsidRPr="002B704D">
        <w:t>Facil</w:t>
      </w:r>
      <w:r w:rsidR="00DC7386">
        <w:t>itation payments are prohibited.</w:t>
      </w:r>
    </w:p>
    <w:p w:rsidR="009B44D8" w:rsidRPr="002B704D" w:rsidRDefault="009B44D8">
      <w:pPr>
        <w:pStyle w:val="BodyText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ind w:right="572"/>
      </w:pPr>
      <w:r w:rsidRPr="002B704D">
        <w:t xml:space="preserve">Certain interactions with U.S. Government Officials must be pre-approved by the </w:t>
      </w:r>
      <w:r w:rsidR="0069458A" w:rsidRPr="002B704D">
        <w:t>Loc</w:t>
      </w:r>
      <w:r w:rsidRPr="002B704D">
        <w:t xml:space="preserve"> executive committee prior to any</w:t>
      </w:r>
      <w:r w:rsidRPr="002B704D">
        <w:rPr>
          <w:spacing w:val="-8"/>
        </w:rPr>
        <w:t xml:space="preserve"> </w:t>
      </w:r>
      <w:r w:rsidRPr="002B704D">
        <w:t>interaction.</w:t>
      </w:r>
    </w:p>
    <w:p w:rsidR="009B44D8" w:rsidRPr="002B704D" w:rsidRDefault="009B44D8">
      <w:pPr>
        <w:pStyle w:val="BodyText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ind w:right="728"/>
      </w:pPr>
      <w:r w:rsidRPr="002B704D">
        <w:t>Compliance due diligence must be conducted on certain third par</w:t>
      </w:r>
      <w:r w:rsidRPr="002B704D">
        <w:t>ties prior to</w:t>
      </w:r>
      <w:r w:rsidRPr="002B704D">
        <w:rPr>
          <w:spacing w:val="-12"/>
        </w:rPr>
        <w:t xml:space="preserve"> </w:t>
      </w:r>
      <w:r w:rsidRPr="002B704D">
        <w:t>entering into engagements with</w:t>
      </w:r>
      <w:r w:rsidRPr="002B704D">
        <w:rPr>
          <w:spacing w:val="-1"/>
        </w:rPr>
        <w:t xml:space="preserve"> </w:t>
      </w:r>
      <w:r w:rsidRPr="002B704D">
        <w:t>them.</w:t>
      </w:r>
    </w:p>
    <w:p w:rsidR="009B44D8" w:rsidRPr="002B704D" w:rsidRDefault="009B44D8">
      <w:pPr>
        <w:pStyle w:val="BodyText"/>
        <w:spacing w:before="1"/>
        <w:rPr>
          <w:sz w:val="22"/>
          <w:szCs w:val="22"/>
        </w:rPr>
      </w:pPr>
    </w:p>
    <w:p w:rsidR="009B44D8" w:rsidRPr="002B704D" w:rsidRDefault="00B2759C">
      <w:pPr>
        <w:pStyle w:val="ListParagraph"/>
        <w:numPr>
          <w:ilvl w:val="0"/>
          <w:numId w:val="1"/>
        </w:numPr>
        <w:tabs>
          <w:tab w:val="left" w:pos="921"/>
        </w:tabs>
        <w:ind w:right="1143"/>
      </w:pPr>
      <w:r w:rsidRPr="002B704D">
        <w:t>Anti-corruption laws provide SEVERE CRIMINAL and CIVIL PENALTIES</w:t>
      </w:r>
      <w:r w:rsidRPr="002B704D">
        <w:rPr>
          <w:spacing w:val="-19"/>
        </w:rPr>
        <w:t xml:space="preserve"> </w:t>
      </w:r>
      <w:r w:rsidRPr="002B704D">
        <w:t>for violations committed by both companies and individual</w:t>
      </w:r>
      <w:r w:rsidRPr="002B704D">
        <w:rPr>
          <w:spacing w:val="-8"/>
        </w:rPr>
        <w:t xml:space="preserve"> </w:t>
      </w:r>
      <w:r w:rsidRPr="002B704D">
        <w:t>employees.</w:t>
      </w:r>
    </w:p>
    <w:p w:rsidR="0069458A" w:rsidRPr="002B704D" w:rsidRDefault="0069458A" w:rsidP="0069458A">
      <w:pPr>
        <w:pStyle w:val="ListParagraph"/>
      </w:pPr>
    </w:p>
    <w:p w:rsidR="0069458A" w:rsidRPr="002B704D" w:rsidRDefault="0069458A" w:rsidP="0069458A">
      <w:pPr>
        <w:pStyle w:val="ListParagraph"/>
        <w:numPr>
          <w:ilvl w:val="0"/>
          <w:numId w:val="1"/>
        </w:numPr>
        <w:tabs>
          <w:tab w:val="left" w:pos="921"/>
        </w:tabs>
        <w:ind w:right="1181"/>
      </w:pPr>
      <w:r w:rsidRPr="002B704D">
        <w:t xml:space="preserve">It is the responsibility of each </w:t>
      </w:r>
      <w:r w:rsidR="002B704D" w:rsidRPr="002B704D">
        <w:t xml:space="preserve">Loc </w:t>
      </w:r>
      <w:r w:rsidRPr="002B704D">
        <w:t>employee to</w:t>
      </w:r>
      <w:r w:rsidR="00DC7386">
        <w:t xml:space="preserve"> immediately report any </w:t>
      </w:r>
      <w:r w:rsidRPr="002B704D">
        <w:t xml:space="preserve">irregularities indicating actual or suspected existence of loss, fraud, embezzlement, or similar impairment of </w:t>
      </w:r>
      <w:r w:rsidR="002B704D" w:rsidRPr="002B704D">
        <w:t xml:space="preserve">Loc’s </w:t>
      </w:r>
      <w:r w:rsidRPr="002B704D">
        <w:t>funds or property</w:t>
      </w:r>
      <w:r w:rsidR="00DC7386">
        <w:t>,</w:t>
      </w:r>
      <w:r w:rsidRPr="002B704D">
        <w:t xml:space="preserve"> and suspicious persons or acti</w:t>
      </w:r>
      <w:r w:rsidR="00DC7386">
        <w:t>vities</w:t>
      </w:r>
      <w:r w:rsidRPr="002B704D">
        <w:t>.</w:t>
      </w:r>
    </w:p>
    <w:p w:rsidR="002B704D" w:rsidRPr="002B704D" w:rsidRDefault="002B704D" w:rsidP="002B704D">
      <w:pPr>
        <w:pStyle w:val="ListParagraph"/>
      </w:pPr>
    </w:p>
    <w:p w:rsidR="002B704D" w:rsidRDefault="002653A5" w:rsidP="002B704D">
      <w:pPr>
        <w:pStyle w:val="ListParagraph"/>
        <w:numPr>
          <w:ilvl w:val="0"/>
          <w:numId w:val="1"/>
        </w:numPr>
        <w:tabs>
          <w:tab w:val="left" w:pos="921"/>
        </w:tabs>
        <w:ind w:right="1181"/>
      </w:pPr>
      <w:r>
        <w:t>If an employee has</w:t>
      </w:r>
      <w:r w:rsidR="0069458A" w:rsidRPr="002B704D">
        <w:t xml:space="preserve"> actual or </w:t>
      </w:r>
      <w:r w:rsidR="002B704D">
        <w:t>suspected</w:t>
      </w:r>
      <w:r w:rsidR="0069458A" w:rsidRPr="002B704D">
        <w:t xml:space="preserve"> know</w:t>
      </w:r>
      <w:r>
        <w:t>ledge of any irregularity</w:t>
      </w:r>
      <w:r w:rsidR="0069458A" w:rsidRPr="002B704D">
        <w:t xml:space="preserve"> and the employee does not report it to</w:t>
      </w:r>
      <w:r w:rsidR="00DC7386">
        <w:t xml:space="preserve"> either </w:t>
      </w:r>
      <w:r w:rsidR="00DC7386" w:rsidRPr="002B704D">
        <w:t>their</w:t>
      </w:r>
      <w:r w:rsidR="0069458A" w:rsidRPr="002B704D">
        <w:t xml:space="preserve"> manager</w:t>
      </w:r>
      <w:r w:rsidR="00DC7386">
        <w:t>, Loc’s Legal Office or Loc’s Compliance Office</w:t>
      </w:r>
      <w:r w:rsidR="0069458A" w:rsidRPr="002B704D">
        <w:t>,</w:t>
      </w:r>
      <w:r w:rsidR="00DC7386">
        <w:t xml:space="preserve"> then </w:t>
      </w:r>
      <w:r w:rsidR="0069458A" w:rsidRPr="002B704D">
        <w:t>that employee</w:t>
      </w:r>
      <w:r>
        <w:t xml:space="preserve"> is</w:t>
      </w:r>
      <w:r w:rsidR="0069458A" w:rsidRPr="002B704D">
        <w:t xml:space="preserve"> </w:t>
      </w:r>
      <w:bookmarkStart w:id="0" w:name="_GoBack"/>
      <w:bookmarkEnd w:id="0"/>
      <w:r w:rsidR="00B2759C">
        <w:t>violating Loc’s</w:t>
      </w:r>
      <w:r w:rsidR="00BA71C6">
        <w:t xml:space="preserve"> Anti-Corruption Policy and may be </w:t>
      </w:r>
      <w:r w:rsidR="00B2759C">
        <w:t>subject to disciplinary action.</w:t>
      </w:r>
    </w:p>
    <w:p w:rsidR="00BA71C6" w:rsidRDefault="00BA71C6" w:rsidP="00BA71C6">
      <w:pPr>
        <w:pStyle w:val="ListParagraph"/>
      </w:pPr>
    </w:p>
    <w:p w:rsidR="002B704D" w:rsidRPr="002B704D" w:rsidRDefault="002B704D" w:rsidP="002B704D">
      <w:pPr>
        <w:pStyle w:val="ListParagraph"/>
        <w:numPr>
          <w:ilvl w:val="0"/>
          <w:numId w:val="1"/>
        </w:numPr>
        <w:tabs>
          <w:tab w:val="left" w:pos="921"/>
        </w:tabs>
        <w:ind w:right="1181"/>
      </w:pPr>
      <w:r w:rsidRPr="002B704D">
        <w:t>Questions or concerns about potentially improper activity must be raised to Loc Management, Loc Legal Office, or Loc Compliance</w:t>
      </w:r>
      <w:r w:rsidRPr="002B704D">
        <w:rPr>
          <w:spacing w:val="5"/>
        </w:rPr>
        <w:t xml:space="preserve"> </w:t>
      </w:r>
      <w:r w:rsidRPr="002B704D">
        <w:t>Office.</w:t>
      </w:r>
    </w:p>
    <w:p w:rsidR="002B704D" w:rsidRPr="002B704D" w:rsidRDefault="002B704D" w:rsidP="002B704D">
      <w:pPr>
        <w:pStyle w:val="ListParagraph"/>
        <w:tabs>
          <w:tab w:val="left" w:pos="921"/>
        </w:tabs>
        <w:ind w:right="1181" w:firstLine="0"/>
      </w:pPr>
    </w:p>
    <w:sectPr w:rsidR="002B704D" w:rsidRPr="002B704D">
      <w:type w:val="continuous"/>
      <w:pgSz w:w="12240" w:h="15840"/>
      <w:pgMar w:top="72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0E9B"/>
    <w:multiLevelType w:val="hybridMultilevel"/>
    <w:tmpl w:val="0F56D64E"/>
    <w:lvl w:ilvl="0" w:tplc="70CCDABE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5AE2FF6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505E86A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2C8683B2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C89EFED6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en-US"/>
      </w:rPr>
    </w:lvl>
    <w:lvl w:ilvl="5" w:tplc="FAF8951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07B03080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en-US"/>
      </w:rPr>
    </w:lvl>
    <w:lvl w:ilvl="7" w:tplc="EF649674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en-US"/>
      </w:rPr>
    </w:lvl>
    <w:lvl w:ilvl="8" w:tplc="49107C78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D8"/>
    <w:rsid w:val="002653A5"/>
    <w:rsid w:val="002B704D"/>
    <w:rsid w:val="0069458A"/>
    <w:rsid w:val="007A2710"/>
    <w:rsid w:val="009B44D8"/>
    <w:rsid w:val="00B2759C"/>
    <w:rsid w:val="00BA71C6"/>
    <w:rsid w:val="00D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7B8A3C-C92E-4A1B-A141-4327AF97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 Performance Products, Inc.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Moran</dc:creator>
  <cp:lastModifiedBy>Phyllis Bryan</cp:lastModifiedBy>
  <cp:revision>4</cp:revision>
  <dcterms:created xsi:type="dcterms:W3CDTF">2022-01-14T16:23:00Z</dcterms:created>
  <dcterms:modified xsi:type="dcterms:W3CDTF">2022-01-14T17:30:00Z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2022-01-14T00:00:00Z</vt:filetime>
  </property>
</Properties>
</file>